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704EE1">
        <w:rPr>
          <w:rFonts w:ascii="Times New Roman" w:eastAsia="Times New Roman" w:hAnsi="Times New Roman" w:cs="Times New Roman"/>
          <w:lang w:val="uk-UA"/>
        </w:rPr>
        <w:t>2</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EF0EAC">
        <w:rPr>
          <w:rFonts w:ascii="Times New Roman" w:eastAsia="Times New Roman" w:hAnsi="Times New Roman" w:cs="Times New Roman"/>
          <w:b/>
          <w:lang w:val="uk-UA"/>
        </w:rPr>
        <w:t>01.12.2022</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r w:rsidR="00215D26" w:rsidRPr="00215D26">
              <w:rPr>
                <w:rStyle w:val="1"/>
                <w:color w:val="000000"/>
                <w:sz w:val="22"/>
                <w:szCs w:val="22"/>
                <w:u w:val="single"/>
                <w:lang w:val="uk-UA"/>
              </w:rPr>
              <w:t>5000,00</w:t>
            </w:r>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2A2D1C">
        <w:trPr>
          <w:cantSplit/>
          <w:trHeight w:hRule="exact" w:val="184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CC18A8" w:rsidRPr="0056674E" w:rsidRDefault="002A2D1C" w:rsidP="00CC18A8">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 xml:space="preserve">виходячи з </w:t>
            </w:r>
            <w:r>
              <w:rPr>
                <w:rFonts w:ascii="Times New Roman" w:eastAsia="Times New Roman" w:hAnsi="Times New Roman" w:cs="Times New Roman"/>
                <w:lang w:val="uk-UA"/>
              </w:rPr>
              <w:t>фіксованої ціни</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=V</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×(Ц+Т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грошовими ко</w:t>
            </w:r>
            <w:r w:rsidR="00CC18A8">
              <w:rPr>
                <w:rFonts w:ascii="Times New Roman" w:eastAsia="Times New Roman" w:hAnsi="Times New Roman" w:cs="Times New Roman"/>
                <w:lang w:val="uk-UA"/>
              </w:rPr>
              <w:t>штами на рахунок Постачальника.</w:t>
            </w:r>
          </w:p>
          <w:p w:rsidR="002A2D1C" w:rsidRPr="0056674E" w:rsidRDefault="002A2D1C" w:rsidP="00353786">
            <w:pPr>
              <w:spacing w:after="0"/>
              <w:ind w:right="132" w:firstLine="132"/>
              <w:jc w:val="both"/>
              <w:rPr>
                <w:rFonts w:ascii="Times New Roman" w:hAnsi="Times New Roman" w:cs="Times New Roman"/>
                <w:lang w:val="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44E44" w:rsidRPr="0056674E" w:rsidTr="00F44E44">
        <w:trPr>
          <w:cantSplit/>
          <w:trHeight w:hRule="exact" w:val="2279"/>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F44E44" w:rsidRDefault="00F44E44" w:rsidP="00F84295">
            <w:pPr>
              <w:pStyle w:val="12"/>
              <w:shd w:val="clear" w:color="auto" w:fill="auto"/>
              <w:spacing w:after="0" w:line="250" w:lineRule="exact"/>
              <w:ind w:left="113" w:right="113"/>
              <w:jc w:val="center"/>
              <w:rPr>
                <w:rStyle w:val="ae"/>
                <w:sz w:val="18"/>
                <w:szCs w:val="20"/>
                <w:lang w:val="uk-UA"/>
              </w:rPr>
            </w:pPr>
            <w:r>
              <w:rPr>
                <w:rStyle w:val="ae"/>
                <w:sz w:val="18"/>
                <w:szCs w:val="20"/>
                <w:lang w:val="uk-UA"/>
              </w:rPr>
              <w:t>Можливість постачання захищеним споживачам</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F44E44" w:rsidRPr="0056674E" w:rsidRDefault="00F44E44" w:rsidP="002C67E7">
            <w:pPr>
              <w:pStyle w:val="12"/>
              <w:shd w:val="clear" w:color="auto" w:fill="auto"/>
              <w:spacing w:after="0"/>
              <w:rPr>
                <w:sz w:val="22"/>
                <w:szCs w:val="22"/>
                <w:lang w:val="uk-UA"/>
              </w:rPr>
            </w:pPr>
            <w:r>
              <w:rPr>
                <w:sz w:val="22"/>
                <w:szCs w:val="22"/>
                <w:lang w:val="uk-UA"/>
              </w:rPr>
              <w:t>Так, з врахуванням особливостей законодавства.</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6C41AC">
                <w:rPr>
                  <w:rStyle w:val="a5"/>
                  <w:rFonts w:ascii="Calibri" w:hAnsi="Calibri" w:cs="Calibri"/>
                  <w:lang w:val="en-US"/>
                </w:rPr>
                <w:t>office</w:t>
              </w:r>
              <w:r w:rsidR="006C41AC" w:rsidRPr="006C41AC">
                <w:rPr>
                  <w:rStyle w:val="a5"/>
                  <w:rFonts w:ascii="Calibri" w:hAnsi="Calibri" w:cs="Calibri"/>
                </w:rPr>
                <w:t>@</w:t>
              </w:r>
              <w:r w:rsidR="006C41AC">
                <w:rPr>
                  <w:rStyle w:val="a5"/>
                  <w:rFonts w:ascii="Calibri" w:hAnsi="Calibri" w:cs="Calibri"/>
                  <w:lang w:val="en-US"/>
                </w:rPr>
                <w:t>cvgaszbut</w:t>
              </w:r>
              <w:r w:rsidR="006C41AC" w:rsidRPr="006C41AC">
                <w:rPr>
                  <w:rStyle w:val="a5"/>
                  <w:rFonts w:ascii="Calibri" w:hAnsi="Calibri" w:cs="Calibri"/>
                </w:rPr>
                <w:t>.</w:t>
              </w:r>
              <w:r w:rsidR="006C41AC">
                <w:rPr>
                  <w:rStyle w:val="a5"/>
                  <w:rFonts w:ascii="Calibri" w:hAnsi="Calibri" w:cs="Calibri"/>
                  <w:lang w:val="en-US"/>
                </w:rPr>
                <w:t>com</w:t>
              </w:r>
              <w:r w:rsidR="006C41AC" w:rsidRPr="006C41AC">
                <w:rPr>
                  <w:rStyle w:val="a5"/>
                  <w:rFonts w:ascii="Calibri" w:hAnsi="Calibri" w:cs="Calibri"/>
                </w:rPr>
                <w:t>.</w:t>
              </w:r>
              <w:r w:rsidR="006C41AC">
                <w:rPr>
                  <w:rStyle w:val="a5"/>
                  <w:rFonts w:ascii="Calibri" w:hAnsi="Calibri" w:cs="Calibri"/>
                  <w:lang w:val="en-US"/>
                </w:rPr>
                <w:t>ua</w:t>
              </w:r>
            </w:hyperlink>
            <w:bookmarkStart w:id="0" w:name="_GoBack"/>
            <w:bookmarkEnd w:id="0"/>
          </w:p>
          <w:p w:rsidR="0056674E" w:rsidRPr="0056674E" w:rsidRDefault="00490491"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91" w:rsidRDefault="00490491" w:rsidP="00D23729">
      <w:pPr>
        <w:spacing w:after="0" w:line="240" w:lineRule="auto"/>
      </w:pPr>
      <w:r>
        <w:separator/>
      </w:r>
    </w:p>
  </w:endnote>
  <w:endnote w:type="continuationSeparator" w:id="0">
    <w:p w:rsidR="00490491" w:rsidRDefault="00490491"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91" w:rsidRDefault="00490491" w:rsidP="00D23729">
      <w:pPr>
        <w:spacing w:after="0" w:line="240" w:lineRule="auto"/>
      </w:pPr>
      <w:r>
        <w:separator/>
      </w:r>
    </w:p>
  </w:footnote>
  <w:footnote w:type="continuationSeparator" w:id="0">
    <w:p w:rsidR="00490491" w:rsidRDefault="00490491"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15D26"/>
    <w:rsid w:val="00220C5E"/>
    <w:rsid w:val="00230832"/>
    <w:rsid w:val="00231EC5"/>
    <w:rsid w:val="00233E9F"/>
    <w:rsid w:val="00250C3A"/>
    <w:rsid w:val="00253B54"/>
    <w:rsid w:val="00292840"/>
    <w:rsid w:val="002A2D1C"/>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0491"/>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A38F8"/>
    <w:rsid w:val="005A4225"/>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41AC"/>
    <w:rsid w:val="006C73A8"/>
    <w:rsid w:val="006E48FB"/>
    <w:rsid w:val="006F7328"/>
    <w:rsid w:val="00703FC7"/>
    <w:rsid w:val="00704EE1"/>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BF7E36"/>
    <w:rsid w:val="00C02F97"/>
    <w:rsid w:val="00C1397A"/>
    <w:rsid w:val="00C33788"/>
    <w:rsid w:val="00C44140"/>
    <w:rsid w:val="00C476A9"/>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EF0EAC"/>
    <w:rsid w:val="00F000EC"/>
    <w:rsid w:val="00F152EB"/>
    <w:rsid w:val="00F15A42"/>
    <w:rsid w:val="00F27E50"/>
    <w:rsid w:val="00F44E44"/>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8521-9D95-4BCB-9FF0-1E1E56C8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22</cp:revision>
  <cp:lastPrinted>2020-01-13T11:02:00Z</cp:lastPrinted>
  <dcterms:created xsi:type="dcterms:W3CDTF">2020-07-30T08:10:00Z</dcterms:created>
  <dcterms:modified xsi:type="dcterms:W3CDTF">2022-06-14T12:40:00Z</dcterms:modified>
</cp:coreProperties>
</file>